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E5F5" w14:textId="77777777" w:rsidR="00B8413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77D6E6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C42CE21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22C2537A" wp14:editId="14093921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9EAB7EF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7C9F0D88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40E1573E" wp14:editId="1FDCBE77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D72612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DC708E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83A602" wp14:editId="3F847F35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6282340E" w14:textId="77777777">
        <w:tc>
          <w:tcPr>
            <w:tcW w:w="115" w:type="dxa"/>
            <w:shd w:val="clear" w:color="auto" w:fill="auto"/>
          </w:tcPr>
          <w:p w14:paraId="0A5D6F8B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D8CED8E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0BF8C0BE" w14:textId="77777777">
        <w:tc>
          <w:tcPr>
            <w:tcW w:w="115" w:type="dxa"/>
            <w:shd w:val="clear" w:color="auto" w:fill="auto"/>
          </w:tcPr>
          <w:p w14:paraId="3813E443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E28BCB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BDDE67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AE05A65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106E9CD" w14:textId="77777777" w:rsidR="00B8413F" w:rsidRDefault="00B8413F"/>
    <w:p w14:paraId="614440D3" w14:textId="7BEEC4A3" w:rsidR="00B8413F" w:rsidRDefault="0078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 SVOLTE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242F">
        <w:rPr>
          <w:rFonts w:ascii="Arial" w:eastAsia="Arial" w:hAnsi="Arial" w:cs="Arial"/>
          <w:b/>
          <w:sz w:val="28"/>
          <w:szCs w:val="28"/>
        </w:rPr>
        <w:t>20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242F">
        <w:rPr>
          <w:rFonts w:ascii="Arial" w:eastAsia="Arial" w:hAnsi="Arial" w:cs="Arial"/>
          <w:b/>
          <w:sz w:val="28"/>
          <w:szCs w:val="28"/>
        </w:rPr>
        <w:t>1</w:t>
      </w:r>
    </w:p>
    <w:p w14:paraId="1277D950" w14:textId="77777777" w:rsidR="00B8413F" w:rsidRDefault="00B8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018499E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92CE" w14:textId="77777777" w:rsidR="00B8413F" w:rsidRDefault="005C0C08" w:rsidP="001D2F9E">
            <w:pPr>
              <w:pStyle w:val="Titolo4"/>
              <w:tabs>
                <w:tab w:val="left" w:pos="708"/>
              </w:tabs>
              <w:spacing w:before="0" w:after="0"/>
              <w:ind w:left="0" w:firstLine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Docenti: </w:t>
            </w:r>
            <w:r w:rsidR="00170599">
              <w:rPr>
                <w:rFonts w:ascii="Calibri" w:eastAsia="Calibri" w:hAnsi="Calibri" w:cs="Calibri"/>
                <w:sz w:val="24"/>
                <w:szCs w:val="24"/>
              </w:rPr>
              <w:t>Paola Selleri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Carlo Corridori (ITP)</w:t>
            </w:r>
          </w:p>
        </w:tc>
      </w:tr>
      <w:tr w:rsidR="00B8413F" w14:paraId="553D1B2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7EDF" w14:textId="77777777" w:rsidR="00B8413F" w:rsidRDefault="005C0C08" w:rsidP="004E68B1">
            <w:pPr>
              <w:pStyle w:val="Titolo1"/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Calibri" w:eastAsia="Calibri" w:hAnsi="Calibri" w:cs="Calibri"/>
                <w:i w:val="0"/>
              </w:rPr>
              <w:t>Disciplina</w:t>
            </w:r>
            <w:r w:rsidR="0099594F">
              <w:rPr>
                <w:rFonts w:ascii="Calibri" w:eastAsia="Calibri" w:hAnsi="Calibri" w:cs="Calibri"/>
                <w:i w:val="0"/>
              </w:rPr>
              <w:t xml:space="preserve">: </w:t>
            </w:r>
            <w:r w:rsidR="004E68B1">
              <w:rPr>
                <w:rFonts w:ascii="Calibri" w:eastAsia="Calibri" w:hAnsi="Calibri" w:cs="Calibri"/>
                <w:i w:val="0"/>
              </w:rPr>
              <w:t>Chimica organica e biochimica</w:t>
            </w:r>
          </w:p>
        </w:tc>
      </w:tr>
      <w:tr w:rsidR="00B8413F" w14:paraId="1198575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CE24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1818FC6B" w14:textId="77777777" w:rsidR="00B8413F" w:rsidRPr="0099594F" w:rsidRDefault="004E68B1" w:rsidP="004E68B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Harth</w:t>
            </w:r>
            <w:proofErr w:type="spellEnd"/>
            <w:r>
              <w:rPr>
                <w:rFonts w:asciiTheme="minorHAnsi" w:hAnsiTheme="minorHAnsi" w:cstheme="minorHAnsi"/>
              </w:rPr>
              <w:t xml:space="preserve"> H, Hadad </w:t>
            </w:r>
            <w:proofErr w:type="spellStart"/>
            <w:r>
              <w:rPr>
                <w:rFonts w:asciiTheme="minorHAnsi" w:hAnsiTheme="minorHAnsi" w:cstheme="minorHAnsi"/>
              </w:rPr>
              <w:t>CCraine</w:t>
            </w:r>
            <w:proofErr w:type="spellEnd"/>
            <w:r>
              <w:rPr>
                <w:rFonts w:asciiTheme="minorHAnsi" w:hAnsiTheme="minorHAnsi" w:cstheme="minorHAnsi"/>
              </w:rPr>
              <w:t xml:space="preserve"> L.E., </w:t>
            </w:r>
            <w:r w:rsidR="0099594F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 xml:space="preserve">Chimica Organica ottava </w:t>
            </w:r>
            <w:proofErr w:type="gramStart"/>
            <w:r>
              <w:rPr>
                <w:rFonts w:asciiTheme="minorHAnsi" w:hAnsiTheme="minorHAnsi" w:cstheme="minorHAnsi"/>
              </w:rPr>
              <w:t>edizione</w:t>
            </w:r>
            <w:r w:rsidR="0099594F">
              <w:rPr>
                <w:rFonts w:asciiTheme="minorHAnsi" w:hAnsiTheme="minorHAnsi" w:cstheme="minorHAnsi"/>
              </w:rPr>
              <w:t>”-</w:t>
            </w:r>
            <w:proofErr w:type="gramEnd"/>
            <w:r w:rsidR="00A80E5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ZANICHELLI</w:t>
            </w:r>
          </w:p>
        </w:tc>
      </w:tr>
      <w:tr w:rsidR="00B8413F" w14:paraId="5B80B9F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3624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7238C9E2" w14:textId="77777777" w:rsidR="00B8413F" w:rsidRDefault="0099594F" w:rsidP="004E20F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170599">
              <w:rPr>
                <w:rFonts w:ascii="Calibri" w:eastAsia="Calibri" w:hAnsi="Calibri"/>
                <w:sz w:val="24"/>
                <w:szCs w:val="24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D5E5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000B7029" w14:textId="77777777" w:rsidR="00B8413F" w:rsidRDefault="001D2F9E" w:rsidP="005C0C0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– </w:t>
            </w:r>
            <w:r w:rsidR="005C0C08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>rticolazione Biotecnologie Sanitarie</w:t>
            </w:r>
            <w:r w:rsidR="0032242F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90B0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48ED87D4" w14:textId="3AF1D561" w:rsidR="00B8413F" w:rsidRDefault="001D2F9E" w:rsidP="0099594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4B36B0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B8413F" w14:paraId="29F0414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1AD9" w14:textId="77777777" w:rsidR="00B8413F" w:rsidRDefault="0032242F" w:rsidP="0078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4F73DB">
              <w:rPr>
                <w:rFonts w:ascii="Calibri" w:eastAsia="Calibri" w:hAnsi="Calibri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4D07E547" w14:textId="77777777" w:rsidR="00346769" w:rsidRDefault="00346769" w:rsidP="0034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  <w:p w14:paraId="42F3A4BE" w14:textId="77777777" w:rsidR="00346769" w:rsidRPr="004F73DB" w:rsidRDefault="00346769" w:rsidP="0034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 neretto vengono evidenziate le conoscenze e le abilità </w:t>
            </w:r>
            <w:r w:rsidR="00361FEE">
              <w:rPr>
                <w:rFonts w:ascii="Calibri" w:eastAsia="Calibri" w:hAnsi="Calibri"/>
                <w:sz w:val="22"/>
                <w:szCs w:val="22"/>
              </w:rPr>
              <w:t>essenziali o minime</w:t>
            </w: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598AD9FF" w14:textId="77777777" w:rsidTr="00211435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0A3F102D" w14:textId="77777777" w:rsidR="00786618" w:rsidRPr="0030582C" w:rsidRDefault="00786618" w:rsidP="00170599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1</w:t>
                  </w:r>
                </w:p>
                <w:p w14:paraId="0CA214E9" w14:textId="6A9FA9B9" w:rsidR="00786618" w:rsidRDefault="00786618" w:rsidP="00786618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Consolidamento dei prerequisiti fondamentali</w:t>
                  </w:r>
                </w:p>
                <w:p w14:paraId="67A5AA80" w14:textId="4108DF6C" w:rsidR="00786618" w:rsidRPr="0030582C" w:rsidRDefault="00786618" w:rsidP="00786618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della classe terza</w:t>
                  </w:r>
                </w:p>
              </w:tc>
            </w:tr>
            <w:tr w:rsidR="00786618" w:rsidRPr="00F730A1" w14:paraId="690FCAFE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EF9A1AE" w14:textId="77777777" w:rsidR="00786618" w:rsidRPr="00F730A1" w:rsidRDefault="00786618" w:rsidP="00170599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9BC54D9" w14:textId="77777777" w:rsidR="00786618" w:rsidRPr="00F730A1" w:rsidRDefault="00786618" w:rsidP="00170599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666EF787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8CF9B1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la </w:t>
                  </w:r>
                  <w:r w:rsidRPr="00170599">
                    <w:rPr>
                      <w:b/>
                    </w:rPr>
                    <w:t>struttura</w:t>
                  </w:r>
                  <w:r w:rsidRPr="00170599">
                    <w:t xml:space="preserve"> e</w:t>
                  </w:r>
                  <w:r w:rsidRPr="00170599">
                    <w:rPr>
                      <w:b/>
                    </w:rPr>
                    <w:t xml:space="preserve"> </w:t>
                  </w:r>
                  <w:r w:rsidRPr="00170599">
                    <w:t xml:space="preserve">la </w:t>
                  </w:r>
                  <w:r w:rsidRPr="00170599">
                    <w:rPr>
                      <w:b/>
                    </w:rPr>
                    <w:t>nomenclatura di alcani</w:t>
                  </w:r>
                  <w:r>
                    <w:rPr>
                      <w:b/>
                    </w:rPr>
                    <w:t>,</w:t>
                  </w:r>
                  <w:r w:rsidRPr="00170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alcheni e alchini</w:t>
                  </w:r>
                </w:p>
                <w:p w14:paraId="1B53F476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le </w:t>
                  </w:r>
                  <w:r w:rsidRPr="00170599">
                    <w:rPr>
                      <w:b/>
                    </w:rPr>
                    <w:t>regole IUPAC per la nomenclatura di alcani</w:t>
                  </w:r>
                  <w:r>
                    <w:rPr>
                      <w:b/>
                    </w:rPr>
                    <w:t>, alcheni e alchini</w:t>
                  </w:r>
                </w:p>
                <w:p w14:paraId="7ED621B0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il </w:t>
                  </w:r>
                  <w:r w:rsidRPr="00170599">
                    <w:rPr>
                      <w:b/>
                    </w:rPr>
                    <w:t>nome</w:t>
                  </w:r>
                  <w:r w:rsidRPr="00170599">
                    <w:t xml:space="preserve"> e la </w:t>
                  </w:r>
                  <w:r w:rsidRPr="00170599">
                    <w:rPr>
                      <w:b/>
                    </w:rPr>
                    <w:t>struttura dei sostituenti alchilici</w:t>
                  </w:r>
                  <w:r w:rsidRPr="00170599">
                    <w:t xml:space="preserve">. </w:t>
                  </w:r>
                </w:p>
                <w:p w14:paraId="77D7606F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le caratteristiche e il modello </w:t>
                  </w:r>
                  <w:proofErr w:type="spellStart"/>
                  <w:r w:rsidRPr="00170599">
                    <w:t>orbitalico</w:t>
                  </w:r>
                  <w:proofErr w:type="spellEnd"/>
                  <w:r w:rsidRPr="00170599">
                    <w:t xml:space="preserve"> del </w:t>
                  </w:r>
                  <w:r w:rsidRPr="00170599">
                    <w:rPr>
                      <w:b/>
                    </w:rPr>
                    <w:t>doppio</w:t>
                  </w:r>
                  <w:r w:rsidRPr="00170599">
                    <w:t xml:space="preserve"> e </w:t>
                  </w:r>
                  <w:r w:rsidRPr="00170599">
                    <w:rPr>
                      <w:b/>
                    </w:rPr>
                    <w:t>triplo</w:t>
                  </w:r>
                  <w:r w:rsidRPr="00170599">
                    <w:t xml:space="preserve"> </w:t>
                  </w:r>
                  <w:r w:rsidRPr="00170599">
                    <w:rPr>
                      <w:b/>
                    </w:rPr>
                    <w:t>legame</w:t>
                  </w:r>
                  <w:r w:rsidRPr="00170599">
                    <w:t xml:space="preserve">; conoscere il concetto di </w:t>
                  </w:r>
                  <w:r w:rsidRPr="00170599">
                    <w:rPr>
                      <w:b/>
                    </w:rPr>
                    <w:t>orbitale ibrido</w:t>
                  </w:r>
                  <w:r w:rsidRPr="00170599">
                    <w:t>.</w:t>
                  </w:r>
                </w:p>
                <w:p w14:paraId="1C9B7A23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>Conoscere l’</w:t>
                  </w:r>
                  <w:r w:rsidRPr="00170599">
                    <w:rPr>
                      <w:b/>
                    </w:rPr>
                    <w:t xml:space="preserve">isomeria </w:t>
                  </w:r>
                  <w:r w:rsidRPr="00170599">
                    <w:rPr>
                      <w:b/>
                      <w:i/>
                    </w:rPr>
                    <w:t>cis-trans</w:t>
                  </w:r>
                  <w:r w:rsidRPr="00170599">
                    <w:rPr>
                      <w:b/>
                    </w:rPr>
                    <w:t xml:space="preserve"> negli alcheni</w:t>
                  </w:r>
                  <w:r w:rsidRPr="00170599">
                    <w:t>.</w:t>
                  </w:r>
                </w:p>
                <w:p w14:paraId="13A95547" w14:textId="77777777" w:rsidR="00786618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>• Conoscere le reazioni degli alcheni e i relativi intermedi e</w:t>
                  </w:r>
                  <w:r>
                    <w:t>d il</w:t>
                  </w:r>
                  <w:r w:rsidRPr="00170599">
                    <w:t xml:space="preserve"> meccanism</w:t>
                  </w:r>
                  <w:r>
                    <w:t>o di addizione elettrofila agli alcheni, e ossidazione</w:t>
                  </w:r>
                </w:p>
                <w:p w14:paraId="62393FFC" w14:textId="77777777" w:rsidR="00786618" w:rsidRPr="00170599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>• Conoscere il significato di</w:t>
                  </w:r>
                  <w:r w:rsidRPr="00170599">
                    <w:rPr>
                      <w:b/>
                    </w:rPr>
                    <w:t xml:space="preserve"> elettrofilo</w:t>
                  </w:r>
                  <w:r w:rsidRPr="00170599">
                    <w:t>,</w:t>
                  </w:r>
                  <w:r w:rsidRPr="00170599">
                    <w:rPr>
                      <w:b/>
                    </w:rPr>
                    <w:t xml:space="preserve"> nucleofilo</w:t>
                  </w:r>
                  <w:r w:rsidRPr="00170599">
                    <w:t xml:space="preserve">, </w:t>
                  </w:r>
                  <w:proofErr w:type="spellStart"/>
                  <w:r w:rsidRPr="00170599">
                    <w:rPr>
                      <w:b/>
                    </w:rPr>
                    <w:t>carbocatione</w:t>
                  </w:r>
                  <w:proofErr w:type="spellEnd"/>
                  <w:r w:rsidRPr="00170599">
                    <w:t>,</w:t>
                  </w:r>
                  <w:r w:rsidRPr="00170599">
                    <w:rPr>
                      <w:b/>
                    </w:rPr>
                    <w:t xml:space="preserve"> radicale</w:t>
                  </w:r>
                  <w:r w:rsidRPr="00170599">
                    <w:t>.</w:t>
                  </w:r>
                </w:p>
                <w:p w14:paraId="4958936B" w14:textId="77777777" w:rsidR="00786618" w:rsidRPr="00170599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 xml:space="preserve">• Conoscere la </w:t>
                  </w:r>
                  <w:r w:rsidRPr="00170599">
                    <w:rPr>
                      <w:b/>
                    </w:rPr>
                    <w:t xml:space="preserve">regola di </w:t>
                  </w:r>
                  <w:proofErr w:type="spellStart"/>
                  <w:r w:rsidRPr="00170599">
                    <w:rPr>
                      <w:b/>
                    </w:rPr>
                    <w:t>Markovnikov</w:t>
                  </w:r>
                  <w:proofErr w:type="spellEnd"/>
                  <w:r w:rsidRPr="00170599">
                    <w:t xml:space="preserve"> e relative eccezioni.</w:t>
                  </w:r>
                </w:p>
                <w:p w14:paraId="661C46C9" w14:textId="77777777" w:rsidR="00786618" w:rsidRPr="00F730A1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D481D5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170599">
                    <w:rPr>
                      <w:b/>
                    </w:rPr>
                    <w:t xml:space="preserve"> Rappresentare e denominare un alcano</w:t>
                  </w:r>
                  <w:r>
                    <w:rPr>
                      <w:b/>
                    </w:rPr>
                    <w:t xml:space="preserve">, alchene o </w:t>
                  </w:r>
                  <w:proofErr w:type="gramStart"/>
                  <w:r>
                    <w:rPr>
                      <w:b/>
                    </w:rPr>
                    <w:t xml:space="preserve">alchino </w:t>
                  </w:r>
                  <w:r w:rsidRPr="00170599">
                    <w:rPr>
                      <w:b/>
                    </w:rPr>
                    <w:t xml:space="preserve"> mediante</w:t>
                  </w:r>
                  <w:proofErr w:type="gramEnd"/>
                  <w:r w:rsidRPr="00170599">
                    <w:rPr>
                      <w:b/>
                    </w:rPr>
                    <w:t xml:space="preserve"> formule di struttura, condensate, scheletriche e prospettiche.</w:t>
                  </w:r>
                </w:p>
                <w:p w14:paraId="2485A90A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170599">
                    <w:rPr>
                      <w:b/>
                    </w:rPr>
                    <w:t>Applicare le regole IUPAC.</w:t>
                  </w:r>
                </w:p>
                <w:p w14:paraId="36B2A43F" w14:textId="77777777" w:rsidR="00786618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Scrivere il meccanismo generale della reazione di addizione elettrofila agli alcheni.</w:t>
                  </w:r>
                </w:p>
                <w:p w14:paraId="7E53E6E4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rPr>
                      <w:b/>
                    </w:rPr>
                    <w:t xml:space="preserve">Classificare i </w:t>
                  </w:r>
                  <w:proofErr w:type="spellStart"/>
                  <w:r w:rsidRPr="00170599">
                    <w:rPr>
                      <w:b/>
                    </w:rPr>
                    <w:t>carbocationi</w:t>
                  </w:r>
                  <w:proofErr w:type="spellEnd"/>
                  <w:r w:rsidRPr="00170599">
                    <w:t>.</w:t>
                  </w:r>
                </w:p>
                <w:p w14:paraId="73CDA925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Tracciare il diagramma dell’energia di una reazione esotermica o endotermica. </w:t>
                  </w:r>
                </w:p>
                <w:p w14:paraId="33DED512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>Individuare i centri di reattività di una specie e classificarne il comportamento chimico.</w:t>
                  </w:r>
                </w:p>
                <w:p w14:paraId="06A0EB49" w14:textId="77777777" w:rsidR="00786618" w:rsidRPr="003C1FB1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4A1AF618" w14:textId="77777777" w:rsidR="0030582C" w:rsidRDefault="0030582C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075FE0D2" w14:textId="77777777" w:rsidR="00170599" w:rsidRDefault="001705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3B890265" w14:textId="77777777" w:rsidTr="0092680A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6194DE38" w14:textId="77777777" w:rsidR="00786618" w:rsidRPr="0030582C" w:rsidRDefault="00786618" w:rsidP="004F73DB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  <w:p w14:paraId="3C69A26D" w14:textId="1A5FA049" w:rsidR="00786618" w:rsidRPr="00786618" w:rsidRDefault="00786618" w:rsidP="00786618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I composti aromatici</w:t>
                  </w:r>
                </w:p>
              </w:tc>
            </w:tr>
            <w:tr w:rsidR="00786618" w:rsidRPr="00F730A1" w14:paraId="62C1203A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8477BA" w14:textId="77777777" w:rsidR="00786618" w:rsidRPr="00F730A1" w:rsidRDefault="00786618" w:rsidP="004F73DB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4F1FE99" w14:textId="77777777" w:rsidR="00786618" w:rsidRPr="00F730A1" w:rsidRDefault="00786618" w:rsidP="004F73DB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0037DCD5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077D1BB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lastRenderedPageBreak/>
                    <w:t>Conoscere la struttura e la risonanza del benzene</w:t>
                  </w:r>
                </w:p>
                <w:p w14:paraId="1FB5C6C8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la nomenclatura dei composti aromatici</w:t>
                  </w:r>
                </w:p>
                <w:p w14:paraId="1B97A3F3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le reazioni dei composti aromatici</w:t>
                  </w:r>
                  <w:r w:rsidRPr="009A546C">
                    <w:rPr>
                      <w:b/>
                    </w:rPr>
                    <w:t>: la sostituzione elettrofila aromatica e</w:t>
                  </w:r>
                  <w:r>
                    <w:t xml:space="preserve"> il suo meccanismo</w:t>
                  </w:r>
                </w:p>
                <w:p w14:paraId="23796B15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l’effetto dei sostituenti nella reazione di sostituzione elettrofila aromatica</w:t>
                  </w:r>
                </w:p>
                <w:p w14:paraId="040DDB40" w14:textId="77777777" w:rsidR="00786618" w:rsidRDefault="00786618" w:rsidP="00786618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  <w:p w14:paraId="22A0D8D4" w14:textId="77777777" w:rsidR="00786618" w:rsidRPr="00F730A1" w:rsidRDefault="00786618" w:rsidP="00B8658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FAB07CC" w14:textId="77777777" w:rsidR="00786618" w:rsidRPr="00CD2720" w:rsidRDefault="00786618" w:rsidP="00CD2720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Rappresentare e riconoscere le strutture di </w:t>
                  </w:r>
                  <w:proofErr w:type="spellStart"/>
                  <w:r>
                    <w:rPr>
                      <w:b/>
                    </w:rPr>
                    <w:t>Kekulé</w:t>
                  </w:r>
                  <w:proofErr w:type="spellEnd"/>
                  <w:r>
                    <w:rPr>
                      <w:b/>
                    </w:rPr>
                    <w:t xml:space="preserve"> e di risonanza del benzene</w:t>
                  </w:r>
                </w:p>
                <w:p w14:paraId="2F56DB3A" w14:textId="77777777" w:rsidR="00786618" w:rsidRPr="008C105F" w:rsidRDefault="00786618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Attribuire il nome alle strutture di composti aromatici</w:t>
                  </w:r>
                </w:p>
                <w:p w14:paraId="322509CD" w14:textId="77777777" w:rsidR="00786618" w:rsidRDefault="00786618" w:rsidP="006A2257">
                  <w:pPr>
                    <w:pStyle w:val="elenco1ProgrammazioneIDEE72095"/>
                    <w:ind w:left="170" w:hanging="170"/>
                  </w:pPr>
                  <w:r>
                    <w:t>Scrivere le formule di struttura di composti aromatici</w:t>
                  </w:r>
                </w:p>
                <w:p w14:paraId="51F5CD1F" w14:textId="77777777" w:rsidR="00786618" w:rsidRDefault="00786618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Scrivere il meccanismo generale della reazione di sostituzione elettrofila aromatica</w:t>
                  </w:r>
                </w:p>
                <w:p w14:paraId="5DCAFB52" w14:textId="77777777" w:rsidR="00786618" w:rsidRPr="003C1FB1" w:rsidRDefault="00786618" w:rsidP="006A2257">
                  <w:pPr>
                    <w:pStyle w:val="elenco1ProgrammazioneIDEE72095"/>
                    <w:ind w:left="170" w:hanging="170"/>
                  </w:pPr>
                  <w:r w:rsidRPr="003C1FB1">
                    <w:t>Prevedere il prodotto principale di una reazione di sostituzione elettrofila aromatica su composti aromatici monosostituiti sulla base delle caratteristiche dei sostituenti</w:t>
                  </w:r>
                </w:p>
                <w:p w14:paraId="4F18698E" w14:textId="77777777" w:rsidR="00786618" w:rsidRDefault="00786618" w:rsidP="003C1FB1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76965495" w14:textId="77777777" w:rsidR="00786618" w:rsidRPr="003C1FB1" w:rsidRDefault="00786618" w:rsidP="003C1FB1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7A1F7EDD" w14:textId="77777777" w:rsidR="00765435" w:rsidRDefault="00765435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063CD09C" w14:textId="77777777" w:rsidTr="00786618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AE4D700" w14:textId="77777777" w:rsidR="00786618" w:rsidRPr="0030582C" w:rsidRDefault="00786618" w:rsidP="005E1BA6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  <w:p w14:paraId="767F21B3" w14:textId="53262EF9" w:rsidR="00786618" w:rsidRPr="0030582C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I composti organici alogenati</w:t>
                  </w:r>
                </w:p>
              </w:tc>
            </w:tr>
            <w:tr w:rsidR="00786618" w:rsidRPr="00F730A1" w14:paraId="39AD5E29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D29F5C4" w14:textId="77777777" w:rsidR="00786618" w:rsidRPr="00F730A1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DC640B5" w14:textId="77777777" w:rsidR="00786618" w:rsidRPr="00F730A1" w:rsidRDefault="00786618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6A4F0496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C86D29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</w:t>
                  </w:r>
                  <w:r w:rsidRPr="009A546C">
                    <w:rPr>
                      <w:b/>
                    </w:rPr>
                    <w:t>classificazione degli alogenuri</w:t>
                  </w:r>
                </w:p>
                <w:p w14:paraId="2C1075DE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il </w:t>
                  </w:r>
                  <w:r w:rsidRPr="009A546C">
                    <w:rPr>
                      <w:b/>
                    </w:rPr>
                    <w:t>significato di substrato, nucleofilo e gruppo uscente</w:t>
                  </w:r>
                </w:p>
                <w:p w14:paraId="0E86936D" w14:textId="77777777" w:rsidR="00786618" w:rsidRPr="009A546C" w:rsidRDefault="00786618" w:rsidP="006E1D06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e </w:t>
                  </w:r>
                  <w:r w:rsidRPr="009A546C">
                    <w:t>distinguere i</w:t>
                  </w:r>
                  <w:r w:rsidRPr="009A546C">
                    <w:rPr>
                      <w:b/>
                    </w:rPr>
                    <w:t xml:space="preserve"> meccanismi di sostituzione nucleofila S</w:t>
                  </w:r>
                  <w:r w:rsidRPr="009A546C">
                    <w:rPr>
                      <w:b/>
                      <w:vertAlign w:val="subscript"/>
                    </w:rPr>
                    <w:t>N</w:t>
                  </w:r>
                  <w:r w:rsidRPr="009A546C">
                    <w:rPr>
                      <w:b/>
                    </w:rPr>
                    <w:t>1 e S</w:t>
                  </w:r>
                  <w:r w:rsidRPr="009A546C">
                    <w:rPr>
                      <w:b/>
                      <w:vertAlign w:val="subscript"/>
                    </w:rPr>
                    <w:t>N</w:t>
                  </w:r>
                  <w:r w:rsidRPr="009A546C">
                    <w:rPr>
                      <w:b/>
                    </w:rPr>
                    <w:t>2</w:t>
                  </w:r>
                </w:p>
                <w:p w14:paraId="5BD284E7" w14:textId="77777777" w:rsidR="00786618" w:rsidRPr="00F730A1" w:rsidRDefault="00786618" w:rsidP="006E1D06">
                  <w:pPr>
                    <w:pStyle w:val="elenco1ProgrammazioneIDEE72095"/>
                    <w:ind w:left="170" w:hanging="170"/>
                  </w:pPr>
                  <w:r>
                    <w:t xml:space="preserve">Conoscere gli </w:t>
                  </w:r>
                  <w:r w:rsidRPr="009A546C">
                    <w:rPr>
                      <w:b/>
                    </w:rPr>
                    <w:t>effetti delle variabili (tipo di alogenuro</w:t>
                  </w:r>
                  <w:r>
                    <w:t xml:space="preserve">, solvente e tipo di nucleofilo) </w:t>
                  </w:r>
                  <w:r w:rsidRPr="009A546C">
                    <w:rPr>
                      <w:b/>
                    </w:rPr>
                    <w:t>sul meccanismo di sostituzione nucleofila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641769F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Riconoscere il tipo di alogenuro data la formula chimica</w:t>
                  </w:r>
                </w:p>
                <w:p w14:paraId="08709066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6E1D06">
                    <w:rPr>
                      <w:b/>
                    </w:rPr>
                    <w:t xml:space="preserve">Progettare i meccanismi e scrivere </w:t>
                  </w:r>
                  <w:proofErr w:type="gramStart"/>
                  <w:r w:rsidRPr="006E1D06">
                    <w:rPr>
                      <w:b/>
                    </w:rPr>
                    <w:t>le equazione</w:t>
                  </w:r>
                  <w:proofErr w:type="gramEnd"/>
                  <w:r w:rsidRPr="006E1D06">
                    <w:rPr>
                      <w:b/>
                    </w:rPr>
                    <w:t xml:space="preserve"> delle reazioni di sostituzione nucleofila</w:t>
                  </w:r>
                </w:p>
                <w:p w14:paraId="61605C57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 in casi semplici</w:t>
                  </w:r>
                </w:p>
                <w:p w14:paraId="48C353CA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prevedere una reazione chimica dalla conoscenza dei meccanismi di reazione applicandoli a molecole semplici e significative</w:t>
                  </w:r>
                </w:p>
                <w:p w14:paraId="08725297" w14:textId="77777777" w:rsidR="00786618" w:rsidRDefault="00786618" w:rsidP="006E1D06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24D7150B" w14:textId="77777777" w:rsidR="00786618" w:rsidRPr="00F730A1" w:rsidRDefault="00786618" w:rsidP="006E1D06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746FD42B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14070D4D" w14:textId="77777777" w:rsidTr="00D727BD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0F3B4BF" w14:textId="77777777" w:rsidR="00786618" w:rsidRPr="0030582C" w:rsidRDefault="00786618" w:rsidP="00D200F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4</w:t>
                  </w:r>
                </w:p>
                <w:p w14:paraId="785FF355" w14:textId="3A1E8C28" w:rsidR="00786618" w:rsidRPr="0030582C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Gli alcoli, i fenoli e i tioli</w:t>
                  </w:r>
                </w:p>
              </w:tc>
            </w:tr>
            <w:tr w:rsidR="00786618" w:rsidRPr="00F730A1" w14:paraId="4C90B0B2" w14:textId="77777777" w:rsidTr="00804E4E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AD5F442" w14:textId="77777777" w:rsidR="00786618" w:rsidRPr="00F730A1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D089031" w14:textId="77777777" w:rsidR="00786618" w:rsidRPr="00F730A1" w:rsidRDefault="00786618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2AC0B4DD" w14:textId="77777777" w:rsidTr="00804E4E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18DD263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</w:t>
                  </w:r>
                  <w:r w:rsidRPr="00D244D3">
                    <w:rPr>
                      <w:b/>
                    </w:rPr>
                    <w:t>nomenclatura e la classificazione di alcoli e fenoli</w:t>
                  </w:r>
                </w:p>
                <w:p w14:paraId="78CCFEBF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il meccanismo di </w:t>
                  </w:r>
                  <w:r w:rsidRPr="00D244D3">
                    <w:rPr>
                      <w:b/>
                    </w:rPr>
                    <w:t>formazione del legame a idrogeno</w:t>
                  </w:r>
                </w:p>
                <w:p w14:paraId="6B55DCF8" w14:textId="77777777" w:rsidR="00786618" w:rsidRPr="00D244D3" w:rsidRDefault="00786618" w:rsidP="00563DEC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>Conoscere il comportamento acido-basico di alcoli e fenoli</w:t>
                  </w:r>
                </w:p>
                <w:p w14:paraId="580B1266" w14:textId="77777777" w:rsidR="00786618" w:rsidRPr="00F730A1" w:rsidRDefault="00786618" w:rsidP="00563DEC">
                  <w:pPr>
                    <w:pStyle w:val="elenco1ProgrammazioneIDEE72095"/>
                    <w:ind w:left="170" w:hanging="170"/>
                  </w:pPr>
                  <w:r>
                    <w:t>Conoscere le principali reazioni degli alcoli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BCDBA15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Denominare alcoli e fenoli</w:t>
                  </w:r>
                </w:p>
                <w:p w14:paraId="5E68881A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Distinguere alcoli primari, secondari, terziari, benzilici </w:t>
                  </w:r>
                  <w:r w:rsidRPr="008A7EC5">
                    <w:t>e allilici</w:t>
                  </w:r>
                </w:p>
                <w:p w14:paraId="6B3A2A6E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 w:rsidRPr="00D244D3">
                    <w:rPr>
                      <w:b/>
                    </w:rPr>
                    <w:t>Rappresentare un alcol o un fenolo</w:t>
                  </w:r>
                  <w:r>
                    <w:t xml:space="preserve"> mediante formule di struttura condensate, scheletriche e modelli molecolari</w:t>
                  </w:r>
                </w:p>
                <w:p w14:paraId="317AA7C3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>
                    <w:t>Collegare le proprietà fisiche di alcoli e fenoli alla presenza del legame a idrogeno</w:t>
                  </w:r>
                </w:p>
                <w:p w14:paraId="4982A999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</w:t>
                  </w:r>
                </w:p>
                <w:p w14:paraId="34B1308B" w14:textId="77777777" w:rsidR="00786618" w:rsidRPr="00D244D3" w:rsidRDefault="00786618" w:rsidP="00563DEC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>Saper descrivere la reattività di alcoli, fenoli e tioli confrontandoli nelle principali caratteristiche in riferimento a molecole semplici e significative</w:t>
                  </w:r>
                </w:p>
                <w:p w14:paraId="0CA015CC" w14:textId="77777777" w:rsidR="00786618" w:rsidRDefault="00786618" w:rsidP="008A7EC5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7470E9A8" w14:textId="77777777" w:rsidR="00786618" w:rsidRPr="00F730A1" w:rsidRDefault="00786618" w:rsidP="008A7EC5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3DE74C3D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804E4E" w:rsidRPr="00F730A1" w14:paraId="7ED89D4F" w14:textId="77777777" w:rsidTr="00973757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14349F6B" w14:textId="77777777" w:rsidR="00804E4E" w:rsidRPr="0030582C" w:rsidRDefault="00804E4E" w:rsidP="003C2333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5</w:t>
                  </w:r>
                </w:p>
                <w:p w14:paraId="490FD12E" w14:textId="4FC6AF01" w:rsidR="00804E4E" w:rsidRPr="0030582C" w:rsidRDefault="00804E4E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Composti carbonilici: aldeidi e chetoni</w:t>
                  </w:r>
                </w:p>
              </w:tc>
            </w:tr>
            <w:tr w:rsidR="00804E4E" w:rsidRPr="00F730A1" w14:paraId="14DEAA52" w14:textId="77777777" w:rsidTr="00804E4E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50236D5" w14:textId="77777777" w:rsidR="00804E4E" w:rsidRPr="00F730A1" w:rsidRDefault="00804E4E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FE3FB3" w14:textId="77777777" w:rsidR="00804E4E" w:rsidRPr="00F730A1" w:rsidRDefault="00804E4E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804E4E" w:rsidRPr="00F730A1" w14:paraId="11177E76" w14:textId="77777777" w:rsidTr="00804E4E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95557E4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la nomenclatura di aldeidi e chetoni</w:t>
                  </w:r>
                </w:p>
                <w:p w14:paraId="5A19C20F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la </w:t>
                  </w:r>
                  <w:r w:rsidRPr="009A546C">
                    <w:rPr>
                      <w:b/>
                    </w:rPr>
                    <w:t>struttura e le proprietà del gruppo carbonilico</w:t>
                  </w:r>
                </w:p>
                <w:p w14:paraId="29369995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il </w:t>
                  </w:r>
                  <w:r w:rsidRPr="009A546C">
                    <w:rPr>
                      <w:b/>
                    </w:rPr>
                    <w:t>meccanismo di addizione nucleofila al gruppo carbonilico</w:t>
                  </w:r>
                </w:p>
                <w:p w14:paraId="2EAEC4B1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i principali metodi di preparazione di aldeidi e chetoni</w:t>
                  </w:r>
                </w:p>
                <w:p w14:paraId="01BC92CC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le </w:t>
                  </w:r>
                  <w:r w:rsidRPr="009A546C">
                    <w:rPr>
                      <w:b/>
                    </w:rPr>
                    <w:t>principali reazioni di aldeidi e chetoni</w:t>
                  </w:r>
                </w:p>
                <w:p w14:paraId="3A583D14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il significato di tautomeria cheto-enolica e di idrogeno e carbonio alfa</w:t>
                  </w:r>
                </w:p>
                <w:p w14:paraId="662BFF1C" w14:textId="77777777" w:rsidR="00804E4E" w:rsidRPr="00F730A1" w:rsidRDefault="00804E4E" w:rsidP="00563DEC">
                  <w:pPr>
                    <w:pStyle w:val="elenco1ProgrammazioneIDEE72095"/>
                    <w:ind w:left="170" w:hanging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0E6B3A8" w14:textId="77777777" w:rsidR="00804E4E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Distinguere e denominare aldeidi e chetoni</w:t>
                  </w:r>
                </w:p>
                <w:p w14:paraId="6D870FBE" w14:textId="77777777" w:rsidR="00804E4E" w:rsidRPr="00263E3F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Rappresentare aldeidi e chetoni mediante formule di struttura di tipo diverso</w:t>
                  </w:r>
                </w:p>
                <w:p w14:paraId="7173D273" w14:textId="77777777" w:rsidR="00804E4E" w:rsidRPr="00263E3F" w:rsidRDefault="00804E4E" w:rsidP="00F94CB1">
                  <w:pPr>
                    <w:pStyle w:val="elenco1ProgrammazioneIDEE72095"/>
                    <w:ind w:left="170" w:hanging="170"/>
                  </w:pPr>
                  <w:r>
                    <w:t xml:space="preserve">Progettare e </w:t>
                  </w:r>
                  <w:r w:rsidRPr="001855EE">
                    <w:rPr>
                      <w:b/>
                    </w:rPr>
                    <w:t>scrivere reazioni</w:t>
                  </w:r>
                  <w:r>
                    <w:t xml:space="preserve"> e meccanismi </w:t>
                  </w:r>
                  <w:r w:rsidRPr="00324C28">
                    <w:rPr>
                      <w:b/>
                    </w:rPr>
                    <w:t>di preparazione di aldeidi e chetoni</w:t>
                  </w:r>
                </w:p>
                <w:p w14:paraId="035D6B4F" w14:textId="77777777" w:rsidR="00804E4E" w:rsidRDefault="00804E4E" w:rsidP="00324C28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</w:t>
                  </w:r>
                </w:p>
                <w:p w14:paraId="31EA6DF9" w14:textId="77777777" w:rsidR="00804E4E" w:rsidRPr="00D244D3" w:rsidRDefault="00804E4E" w:rsidP="00324C28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 xml:space="preserve">Saper descrivere la reattività di </w:t>
                  </w:r>
                  <w:r>
                    <w:rPr>
                      <w:b/>
                    </w:rPr>
                    <w:t xml:space="preserve">aldeidi e chetoni </w:t>
                  </w:r>
                  <w:r w:rsidRPr="00D244D3">
                    <w:rPr>
                      <w:b/>
                    </w:rPr>
                    <w:t>confrontandoli nelle principali caratteristiche in riferimento a molecole semplici e significative</w:t>
                  </w:r>
                </w:p>
                <w:p w14:paraId="0989ACBF" w14:textId="77777777" w:rsidR="00804E4E" w:rsidRDefault="00804E4E" w:rsidP="00324C28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01B4D336" w14:textId="77777777" w:rsidR="00804E4E" w:rsidRPr="00F730A1" w:rsidRDefault="00804E4E" w:rsidP="00324C28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4D5B1F0E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9C1856" w:rsidRPr="00F730A1" w14:paraId="167BE89D" w14:textId="77777777" w:rsidTr="00A40BDF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5579372" w14:textId="77777777" w:rsidR="009C1856" w:rsidRPr="0030582C" w:rsidRDefault="009C1856" w:rsidP="00D15E0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6</w:t>
                  </w:r>
                </w:p>
                <w:p w14:paraId="4A2F5FD2" w14:textId="6DAF0F3B" w:rsidR="009C1856" w:rsidRPr="0030582C" w:rsidRDefault="009C1856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 xml:space="preserve">Acidi carbossilici </w:t>
                  </w:r>
                </w:p>
              </w:tc>
            </w:tr>
            <w:tr w:rsidR="009C1856" w:rsidRPr="00F730A1" w14:paraId="63CE743A" w14:textId="77777777" w:rsidTr="009C1856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4CEA1F8" w14:textId="77777777" w:rsidR="009C1856" w:rsidRPr="00F730A1" w:rsidRDefault="009C1856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6285194" w14:textId="77777777" w:rsidR="009C1856" w:rsidRPr="00F730A1" w:rsidRDefault="009C1856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9C1856" w:rsidRPr="00F730A1" w14:paraId="6992B312" w14:textId="77777777" w:rsidTr="009C1856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8698A43" w14:textId="64AD76AF" w:rsidR="009C1856" w:rsidRDefault="009C1856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nomenclatura e le </w:t>
                  </w:r>
                  <w:r w:rsidRPr="009A546C">
                    <w:rPr>
                      <w:b/>
                    </w:rPr>
                    <w:t>proprietà di acidi carbossilici</w:t>
                  </w:r>
                  <w:r>
                    <w:t xml:space="preserve"> </w:t>
                  </w:r>
                </w:p>
                <w:p w14:paraId="26A4DABC" w14:textId="5323EB3F" w:rsidR="009C1856" w:rsidRPr="00F730A1" w:rsidRDefault="009C1856" w:rsidP="009C1856">
                  <w:pPr>
                    <w:pStyle w:val="elenco1ProgrammazioneIDEE72095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D681359" w14:textId="77777777" w:rsidR="009C1856" w:rsidRDefault="009C1856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Scrivere la formula di struttura e assegnare il nome </w:t>
                  </w:r>
                  <w:proofErr w:type="gramStart"/>
                  <w:r>
                    <w:rPr>
                      <w:b/>
                    </w:rPr>
                    <w:t>a</w:t>
                  </w:r>
                  <w:proofErr w:type="gramEnd"/>
                  <w:r>
                    <w:rPr>
                      <w:b/>
                    </w:rPr>
                    <w:t xml:space="preserve"> acidi carbossilici e derivati</w:t>
                  </w:r>
                </w:p>
                <w:p w14:paraId="3CBB07E3" w14:textId="77777777" w:rsidR="009C1856" w:rsidRPr="00582C5C" w:rsidRDefault="009C1856" w:rsidP="00306B10">
                  <w:pPr>
                    <w:pStyle w:val="elenco1ProgrammazioneIDEE72095"/>
                    <w:ind w:left="170" w:hanging="170"/>
                  </w:pPr>
                  <w:r w:rsidRPr="00582C5C">
                    <w:t>Collegare le proprietà fisiche degli acidi carbossilici alla presenza del legame a idrogeno</w:t>
                  </w:r>
                </w:p>
                <w:p w14:paraId="6E2A5F09" w14:textId="77777777" w:rsidR="009C1856" w:rsidRDefault="009C1856" w:rsidP="00563DEC">
                  <w:pPr>
                    <w:pStyle w:val="elenco1ProgrammazioneIDEE72095"/>
                    <w:ind w:left="170" w:hanging="170"/>
                  </w:pPr>
                  <w:r>
                    <w:t>Spiegare la differenza di acidità degli acidi carbossilici con altre famiglie di composti, collegandola alla presenza di strutture di risonanza</w:t>
                  </w:r>
                </w:p>
                <w:p w14:paraId="258B3C3D" w14:textId="2404BC03" w:rsidR="009C1856" w:rsidRPr="00F730A1" w:rsidRDefault="009C1856" w:rsidP="009C1856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3BEC9B3F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9C1856" w:rsidRPr="00F730A1" w14:paraId="100C7B2D" w14:textId="77777777" w:rsidTr="009C1856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519C434" w14:textId="77777777" w:rsidR="009C1856" w:rsidRPr="00611F6A" w:rsidRDefault="009C1856" w:rsidP="009C1856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19954F36" w14:textId="50B97065" w:rsidR="009C1856" w:rsidRPr="0030582C" w:rsidRDefault="009C1856" w:rsidP="009C1856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C1856" w:rsidRPr="00F730A1" w14:paraId="2A1A1157" w14:textId="77777777" w:rsidTr="009C1856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C0AD66B" w14:textId="77777777" w:rsid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314F9D67" w14:textId="05E2E228" w:rsidR="009D24E4" w:rsidRPr="009D24E4" w:rsidRDefault="009D24E4" w:rsidP="009D24E4">
                  <w:p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Sicurezza nel laboratorio chimico e buone pratiche di comportamento</w:t>
                  </w:r>
                </w:p>
                <w:p w14:paraId="47D548B3" w14:textId="2714DBAA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illustrazione aspetti principali della sicurezza nel laboratorio di chimica e dispositivi di protezione individuale ai sensi del Dlgs. 81/2008.</w:t>
                  </w:r>
                </w:p>
                <w:p w14:paraId="5C52E859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Estrazione con solventi</w:t>
                  </w:r>
                </w:p>
                <w:p w14:paraId="212B20C1" w14:textId="75DC1608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Illustrazione processo di estrazione di una sostanza naturale mediante estrazione con solvente solido-liquido; ottenimento dell'estratto.</w:t>
                  </w:r>
                </w:p>
                <w:p w14:paraId="0E9448BC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Saggi per l’identificazione del doppio legame C-C</w:t>
                  </w:r>
                </w:p>
                <w:p w14:paraId="2D646C18" w14:textId="03F5B8C2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saggio con Br</w:t>
                  </w:r>
                  <w:r w:rsidRPr="009D24E4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2</w:t>
                  </w: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: su estratto idrocarburico di un componente naturale, vari idrocarburi e acido oleico. Compilazione tabella dati sperimentali.</w:t>
                  </w:r>
                </w:p>
                <w:p w14:paraId="0093AA4B" w14:textId="50A5AF84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saggi con permanganato di potassio: effettuazione del test su varie specie organiche, compilazione tabella dati sperimentali; </w:t>
                  </w:r>
                </w:p>
                <w:p w14:paraId="4BAB9A62" w14:textId="23EBBEA4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lastRenderedPageBreak/>
                    <w:t>confronto di reattività con alcuni idrocarburi aromatici, osservazione della reazione di xilene con Br</w:t>
                  </w:r>
                  <w:r w:rsidRPr="009D24E4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2</w:t>
                  </w: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(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aq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) in presenza di catalizzatore (vs assenza di catalizzatore).</w:t>
                  </w:r>
                </w:p>
                <w:p w14:paraId="114E8C4D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Modelli molecolari e reattività</w:t>
                  </w:r>
                </w:p>
                <w:p w14:paraId="17C7F700" w14:textId="659713B4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Impiego di modelli molecolari per il ripasso delle reazioni di addizione elettrofila e per lo studio delle reazioni di sostituzione nucleofila (visualizzazione dei meccanismi).</w:t>
                  </w:r>
                </w:p>
                <w:p w14:paraId="6D5B6A6D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Reattività alogenuri alchilici</w:t>
                  </w:r>
                </w:p>
                <w:p w14:paraId="632D8CD7" w14:textId="77777777" w:rsidR="009D24E4" w:rsidRDefault="009D24E4" w:rsidP="00F866F3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studio di reattività nelle reazioni di sostituzione nucleofila, illustrazione caratteristiche della reazione di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Finkelstein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 (scambio di alogeno) (nucleofilo, solvente, condizioni di reazione); tabella per lo studio di reattività di vari substrati</w:t>
                  </w:r>
                </w:p>
                <w:p w14:paraId="3F5A0691" w14:textId="34E8D484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Osservazioni sperimentali relative alla reazione di scambio di alogeno su vari alogenuri alchilici (studio di reattività e variazione delle condizioni di reazione).</w:t>
                  </w:r>
                </w:p>
                <w:p w14:paraId="7BBAC908" w14:textId="73AF4AD1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Sintesi del cloruro di t-butile: equazione di reazione, valutazione schede di sicurezza di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tBuOH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, HCl,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tBuCl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, procedimento, uso dell'imbuto separatore. Schema sequenza operativa.</w:t>
                  </w:r>
                </w:p>
                <w:p w14:paraId="0B7CB715" w14:textId="7C61B97E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Sintesi di t-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BuCl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: effettuazione </w:t>
                  </w:r>
                  <w:proofErr w:type="gram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della  sintesi</w:t>
                  </w:r>
                  <w:proofErr w:type="gram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 fino all’ ottenimento del prodotto grezzo;</w:t>
                  </w:r>
                </w:p>
                <w:p w14:paraId="4A8849B0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Reattività degli alcoli</w:t>
                  </w:r>
                </w:p>
                <w:p w14:paraId="697FD374" w14:textId="6580F97B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Caratteristiche dei processi di ossidazione di composti organici, impiego di reattivi tradizionali per l'ossidazione di alcoli: -reattivo di Jones, - KMnO</w:t>
                  </w:r>
                  <w:r w:rsidRPr="009D24E4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4</w:t>
                  </w: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 (fenomenologia associata, reattività). Procedura per la realizzazione dei test.</w:t>
                  </w:r>
                </w:p>
                <w:p w14:paraId="67E00645" w14:textId="1FEFDAAC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Osservazioni sperimentali relative all'effettuazione di reazioni di ossidazione di alcoli incogniti (saggio con reattivo di Jones, saggio con KMnO4). Interpretazione e documentazione dei risultati.</w:t>
                  </w:r>
                </w:p>
                <w:p w14:paraId="185D6BF2" w14:textId="4FA4BD0B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Illustrazione reazione con metalli attivi, procedura operativa, riepilogo ed osservazioni legate alla reattività di H</w:t>
                  </w:r>
                  <w:r w:rsidRPr="009D24E4">
                    <w:rPr>
                      <w:rFonts w:ascii="Verdana" w:hAnsi="Verdana"/>
                      <w:sz w:val="19"/>
                      <w:szCs w:val="19"/>
                      <w:vertAlign w:val="subscript"/>
                    </w:rPr>
                    <w:t>2</w:t>
                  </w: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O con Na; esecuzione di test su alcoli incogniti per la reazione con Na. Fenomenologia e reattività.</w:t>
                  </w:r>
                </w:p>
                <w:p w14:paraId="31295202" w14:textId="36C41238" w:rsidR="009D24E4" w:rsidRPr="00CB3B28" w:rsidRDefault="009D24E4" w:rsidP="009D24E4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Caratteristiche del reattivo di Lucas, illustrazione della procedura per l'esecuzione del test sugli alcoli, osservazioni sperimentali relative all'effettuazione del saggio di Lucas su alcoli incogniti.</w:t>
                  </w:r>
                </w:p>
                <w:p w14:paraId="193BD96A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Reattività del gruppo carbonilico</w:t>
                  </w:r>
                </w:p>
                <w:p w14:paraId="28108450" w14:textId="265560FB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Introduzione ai saggi di identificazione di composti carbonilici: descrizione di alcuni test di ossidazione (Jones,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Fehling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); osservazioni sperimentali relative ai saggi su aldeidi e chetoni. </w:t>
                  </w:r>
                </w:p>
                <w:p w14:paraId="1CB0AB82" w14:textId="34764DBC" w:rsidR="009D24E4" w:rsidRPr="009D24E4" w:rsidRDefault="009D24E4" w:rsidP="00F866F3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Saggi di identificazione del gruppo carbonilico: osservazioni sperimentali relative all'effettuazione del saggio di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 su aldeidi incognite e acetone.</w:t>
                  </w:r>
                </w:p>
                <w:p w14:paraId="77CA61E2" w14:textId="5DAC2D38" w:rsidR="009C1856" w:rsidRPr="00F730A1" w:rsidRDefault="009C1856" w:rsidP="009D24E4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547E1425" w14:textId="77777777" w:rsidR="000C3359" w:rsidRDefault="000C335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9D24E4" w:rsidRPr="0030582C" w14:paraId="39D630E0" w14:textId="77777777" w:rsidTr="008004EB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65044582" w14:textId="43206CC4" w:rsidR="009D24E4" w:rsidRPr="00611F6A" w:rsidRDefault="009D24E4" w:rsidP="009D24E4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Educazione Civica</w:t>
                  </w:r>
                </w:p>
                <w:p w14:paraId="6FEB883B" w14:textId="77777777" w:rsidR="009D24E4" w:rsidRPr="0030582C" w:rsidRDefault="009D24E4" w:rsidP="009D24E4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D24E4" w:rsidRPr="00F730A1" w14:paraId="54EB47D3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91DDB83" w14:textId="77777777" w:rsid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068BBC7D" w14:textId="55477B25" w:rsidR="009D24E4" w:rsidRPr="00F866F3" w:rsidRDefault="00F866F3" w:rsidP="00F866F3">
                  <w:pPr>
                    <w:pStyle w:val="Paragrafoelenco"/>
                    <w:numPr>
                      <w:ilvl w:val="0"/>
                      <w:numId w:val="10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Sostenibilità ambientale: il ruolo della chimica nella agenda 2030</w:t>
                  </w:r>
                </w:p>
                <w:p w14:paraId="55C0213C" w14:textId="57B26D4A" w:rsidR="009D24E4" w:rsidRPr="00F866F3" w:rsidRDefault="00F866F3" w:rsidP="00F866F3">
                  <w:pPr>
                    <w:pStyle w:val="Paragrafoelenco"/>
                    <w:numPr>
                      <w:ilvl w:val="0"/>
                      <w:numId w:val="10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 xml:space="preserve">Green </w:t>
                  </w:r>
                  <w:proofErr w:type="spellStart"/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Chemistry</w:t>
                  </w:r>
                  <w:proofErr w:type="spellEnd"/>
                </w:p>
                <w:p w14:paraId="54172C4F" w14:textId="7B2D097D" w:rsidR="009D24E4" w:rsidRPr="00F866F3" w:rsidRDefault="00F866F3" w:rsidP="00F866F3">
                  <w:pPr>
                    <w:pStyle w:val="Paragrafoelenco"/>
                    <w:numPr>
                      <w:ilvl w:val="0"/>
                      <w:numId w:val="10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passaggio dalla economia lineare alla economia circolare</w:t>
                  </w:r>
                </w:p>
                <w:p w14:paraId="0993B525" w14:textId="2C7E75FD" w:rsidR="009D24E4" w:rsidRPr="00F866F3" w:rsidRDefault="00F866F3" w:rsidP="00F866F3">
                  <w:pPr>
                    <w:pStyle w:val="Paragrafoelenco"/>
                    <w:numPr>
                      <w:ilvl w:val="0"/>
                      <w:numId w:val="10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 xml:space="preserve">Preparazione di biopolimeri </w:t>
                  </w:r>
                </w:p>
                <w:p w14:paraId="5E3FE970" w14:textId="6F8642BD" w:rsidR="009D24E4" w:rsidRPr="00F866F3" w:rsidRDefault="00F866F3" w:rsidP="00F866F3">
                  <w:pPr>
                    <w:pStyle w:val="Paragrafoelenco"/>
                    <w:numPr>
                      <w:ilvl w:val="0"/>
                      <w:numId w:val="10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lastRenderedPageBreak/>
                    <w:t>Il problema delle microplastiche</w:t>
                  </w:r>
                </w:p>
              </w:tc>
            </w:tr>
          </w:tbl>
          <w:p w14:paraId="5F143716" w14:textId="77777777" w:rsidR="00B8413F" w:rsidRDefault="00B8413F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5B132A1" w14:textId="77777777" w:rsidR="00E9308B" w:rsidRDefault="00E9308B" w:rsidP="0080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12EAC53F" w14:textId="77777777" w:rsidR="00B8413F" w:rsidRDefault="00B8413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39DB7FC" w14:textId="77777777" w:rsidR="00E22414" w:rsidRDefault="00E22414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64A81DEE" w14:textId="77777777" w:rsidR="00E22414" w:rsidRDefault="00E22414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0911612" w14:textId="77777777" w:rsidR="00B8413F" w:rsidRDefault="00B8413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9086583" w14:textId="5E6287F6" w:rsidR="00E22414" w:rsidRDefault="0032242F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9C1856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9C1856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/202</w:t>
      </w:r>
      <w:r w:rsidR="009C1856">
        <w:rPr>
          <w:rFonts w:asciiTheme="minorHAnsi" w:eastAsia="Arial" w:hAnsiTheme="minorHAnsi" w:cstheme="minorHAnsi"/>
          <w:sz w:val="24"/>
          <w:szCs w:val="24"/>
        </w:rPr>
        <w:t>2</w:t>
      </w:r>
      <w:r w:rsidRPr="00880936">
        <w:rPr>
          <w:rFonts w:asciiTheme="minorHAnsi" w:eastAsia="Arial" w:hAnsiTheme="minorHAnsi" w:cstheme="minorHAnsi"/>
          <w:sz w:val="24"/>
          <w:szCs w:val="24"/>
        </w:rPr>
        <w:tab/>
        <w:t xml:space="preserve">            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docenti</w:t>
      </w:r>
    </w:p>
    <w:p w14:paraId="522B3C8A" w14:textId="77777777" w:rsidR="00880936" w:rsidRPr="00880936" w:rsidRDefault="00E22414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ab/>
        <w:t xml:space="preserve">              </w:t>
      </w:r>
      <w:r w:rsidR="00170599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5FBE4DFA" w14:textId="77777777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E22414">
        <w:rPr>
          <w:rFonts w:asciiTheme="minorHAnsi" w:eastAsia="Arial" w:hAnsiTheme="minorHAnsi" w:cstheme="minorHAnsi"/>
          <w:sz w:val="24"/>
          <w:szCs w:val="24"/>
        </w:rPr>
        <w:t xml:space="preserve">               </w:t>
      </w:r>
      <w:r w:rsidRPr="00880936">
        <w:rPr>
          <w:rFonts w:asciiTheme="minorHAnsi" w:eastAsia="Arial" w:hAnsiTheme="minorHAnsi" w:cstheme="minorHAnsi"/>
          <w:sz w:val="24"/>
          <w:szCs w:val="24"/>
        </w:rPr>
        <w:t>Carlo Corridori</w:t>
      </w:r>
    </w:p>
    <w:sectPr w:rsidR="00880936" w:rsidRPr="0088093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Hiragino Mincho ProN W3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54E"/>
    <w:multiLevelType w:val="multilevel"/>
    <w:tmpl w:val="082E2A8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D1104F"/>
    <w:multiLevelType w:val="hybridMultilevel"/>
    <w:tmpl w:val="914A6352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353D2"/>
    <w:multiLevelType w:val="hybridMultilevel"/>
    <w:tmpl w:val="C9C66550"/>
    <w:lvl w:ilvl="0" w:tplc="D776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5113"/>
    <w:multiLevelType w:val="hybridMultilevel"/>
    <w:tmpl w:val="3EB654FE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A5A5A"/>
    <w:multiLevelType w:val="hybridMultilevel"/>
    <w:tmpl w:val="0AB641F8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C3F8F"/>
    <w:multiLevelType w:val="multilevel"/>
    <w:tmpl w:val="1108B52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664777F4"/>
    <w:multiLevelType w:val="hybridMultilevel"/>
    <w:tmpl w:val="3FFAEC06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012110"/>
    <w:multiLevelType w:val="hybridMultilevel"/>
    <w:tmpl w:val="3FD894E6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50A63"/>
    <w:multiLevelType w:val="hybridMultilevel"/>
    <w:tmpl w:val="733A0CD0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311063">
    <w:abstractNumId w:val="0"/>
  </w:num>
  <w:num w:numId="2" w16cid:durableId="427583182">
    <w:abstractNumId w:val="1"/>
  </w:num>
  <w:num w:numId="3" w16cid:durableId="499082179">
    <w:abstractNumId w:val="6"/>
  </w:num>
  <w:num w:numId="4" w16cid:durableId="918755712">
    <w:abstractNumId w:val="8"/>
  </w:num>
  <w:num w:numId="5" w16cid:durableId="508182221">
    <w:abstractNumId w:val="9"/>
  </w:num>
  <w:num w:numId="6" w16cid:durableId="1100831768">
    <w:abstractNumId w:val="4"/>
  </w:num>
  <w:num w:numId="7" w16cid:durableId="332222047">
    <w:abstractNumId w:val="5"/>
  </w:num>
  <w:num w:numId="8" w16cid:durableId="945037276">
    <w:abstractNumId w:val="7"/>
  </w:num>
  <w:num w:numId="9" w16cid:durableId="831338597">
    <w:abstractNumId w:val="2"/>
  </w:num>
  <w:num w:numId="10" w16cid:durableId="112068236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13B28"/>
    <w:rsid w:val="000324DD"/>
    <w:rsid w:val="0008596A"/>
    <w:rsid w:val="000C3359"/>
    <w:rsid w:val="000E4184"/>
    <w:rsid w:val="00106FA5"/>
    <w:rsid w:val="001569DD"/>
    <w:rsid w:val="00170599"/>
    <w:rsid w:val="001855EE"/>
    <w:rsid w:val="00192812"/>
    <w:rsid w:val="001A403B"/>
    <w:rsid w:val="001B2FD7"/>
    <w:rsid w:val="001D2F9E"/>
    <w:rsid w:val="00261D4A"/>
    <w:rsid w:val="00263E3F"/>
    <w:rsid w:val="0029201A"/>
    <w:rsid w:val="002F06EE"/>
    <w:rsid w:val="0030582C"/>
    <w:rsid w:val="00306B10"/>
    <w:rsid w:val="0032242F"/>
    <w:rsid w:val="00324C28"/>
    <w:rsid w:val="00346769"/>
    <w:rsid w:val="00360AB7"/>
    <w:rsid w:val="00361FEE"/>
    <w:rsid w:val="0036794B"/>
    <w:rsid w:val="003924A8"/>
    <w:rsid w:val="003C1FB1"/>
    <w:rsid w:val="003C2333"/>
    <w:rsid w:val="003D20FC"/>
    <w:rsid w:val="00414D9D"/>
    <w:rsid w:val="004238F2"/>
    <w:rsid w:val="004506FA"/>
    <w:rsid w:val="0049045B"/>
    <w:rsid w:val="004B36B0"/>
    <w:rsid w:val="004E20F3"/>
    <w:rsid w:val="004E68B1"/>
    <w:rsid w:val="004F73DB"/>
    <w:rsid w:val="005433ED"/>
    <w:rsid w:val="00563DEC"/>
    <w:rsid w:val="00582C5C"/>
    <w:rsid w:val="0059526D"/>
    <w:rsid w:val="005A45B0"/>
    <w:rsid w:val="005C0C08"/>
    <w:rsid w:val="005C1208"/>
    <w:rsid w:val="005E0553"/>
    <w:rsid w:val="005E1BA6"/>
    <w:rsid w:val="006A2257"/>
    <w:rsid w:val="006E1D06"/>
    <w:rsid w:val="006E6B91"/>
    <w:rsid w:val="006E6DE6"/>
    <w:rsid w:val="00723B5B"/>
    <w:rsid w:val="00765435"/>
    <w:rsid w:val="00786618"/>
    <w:rsid w:val="007A3C96"/>
    <w:rsid w:val="00804E4E"/>
    <w:rsid w:val="008462EA"/>
    <w:rsid w:val="00860009"/>
    <w:rsid w:val="00863373"/>
    <w:rsid w:val="00880936"/>
    <w:rsid w:val="008A7EC5"/>
    <w:rsid w:val="008C105F"/>
    <w:rsid w:val="008E037C"/>
    <w:rsid w:val="008E5311"/>
    <w:rsid w:val="00900DA6"/>
    <w:rsid w:val="00944C15"/>
    <w:rsid w:val="00951786"/>
    <w:rsid w:val="009765BF"/>
    <w:rsid w:val="0099594F"/>
    <w:rsid w:val="009A546C"/>
    <w:rsid w:val="009C1856"/>
    <w:rsid w:val="009D24E4"/>
    <w:rsid w:val="00A111CD"/>
    <w:rsid w:val="00A80E5F"/>
    <w:rsid w:val="00AA3927"/>
    <w:rsid w:val="00AA5964"/>
    <w:rsid w:val="00AC02C5"/>
    <w:rsid w:val="00B0369A"/>
    <w:rsid w:val="00B077D2"/>
    <w:rsid w:val="00B20BF1"/>
    <w:rsid w:val="00B35309"/>
    <w:rsid w:val="00B60329"/>
    <w:rsid w:val="00B64755"/>
    <w:rsid w:val="00B8413F"/>
    <w:rsid w:val="00B86589"/>
    <w:rsid w:val="00C9762B"/>
    <w:rsid w:val="00CB3B28"/>
    <w:rsid w:val="00CD2720"/>
    <w:rsid w:val="00CD50B2"/>
    <w:rsid w:val="00D06F5B"/>
    <w:rsid w:val="00D0740C"/>
    <w:rsid w:val="00D15E02"/>
    <w:rsid w:val="00D200F2"/>
    <w:rsid w:val="00D244D3"/>
    <w:rsid w:val="00D3698C"/>
    <w:rsid w:val="00D42CD2"/>
    <w:rsid w:val="00D86727"/>
    <w:rsid w:val="00DC0FBF"/>
    <w:rsid w:val="00E05A7F"/>
    <w:rsid w:val="00E22414"/>
    <w:rsid w:val="00E9308B"/>
    <w:rsid w:val="00EA2D8E"/>
    <w:rsid w:val="00EC002B"/>
    <w:rsid w:val="00F866F3"/>
    <w:rsid w:val="00F90353"/>
    <w:rsid w:val="00F918E3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C10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numPr>
        <w:numId w:val="1"/>
      </w:num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customStyle="1" w:styleId="Standard">
    <w:name w:val="Standard"/>
    <w:rsid w:val="00261D4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261D4A"/>
    <w:pPr>
      <w:numPr>
        <w:numId w:val="2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553"/>
    <w:pPr>
      <w:spacing w:after="120" w:line="48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553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numbering" w:customStyle="1" w:styleId="WW8Num16">
    <w:name w:val="WW8Num16"/>
    <w:basedOn w:val="Nessunelenco"/>
    <w:rsid w:val="005E0553"/>
    <w:pPr>
      <w:numPr>
        <w:numId w:val="3"/>
      </w:numPr>
    </w:pPr>
  </w:style>
  <w:style w:type="paragraph" w:customStyle="1" w:styleId="Default">
    <w:name w:val="Default"/>
    <w:rsid w:val="00306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705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10</cp:revision>
  <dcterms:created xsi:type="dcterms:W3CDTF">2022-06-09T08:17:00Z</dcterms:created>
  <dcterms:modified xsi:type="dcterms:W3CDTF">2022-06-09T23:05:00Z</dcterms:modified>
</cp:coreProperties>
</file>